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F7AD" w14:textId="36B142FC" w:rsidR="007945D7" w:rsidRDefault="00E82B62" w:rsidP="00B42EF7">
      <w:pPr>
        <w:ind w:left="5740"/>
        <w:jc w:val="both"/>
        <w:rPr>
          <w:rFonts w:ascii="Times New Roman"/>
          <w:sz w:val="20"/>
        </w:rPr>
      </w:pPr>
      <w:r>
        <w:fldChar w:fldCharType="begin"/>
      </w:r>
      <w:r w:rsidR="00AB23C5">
        <w:instrText xml:space="preserve"> INCLUDEPICTURE "C:\\Users\\ciaranmoore\\Library\\Group Containers\\UBF8T346G9.ms\\WebArchiveCopyPasteTempFiles\\com.microsoft.Word\\logoPhone.png"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20B2D62" wp14:editId="31D8F686">
            <wp:extent cx="2562115" cy="643365"/>
            <wp:effectExtent l="0" t="0" r="3810" b="4445"/>
            <wp:docPr id="207527957" name="Picture 3" descr="Dublin Dental University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blin Dental University Hospi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010" cy="65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1547F2B" w14:textId="77777777" w:rsidR="00E82B62" w:rsidRDefault="00E82B62" w:rsidP="00B42EF7">
      <w:pPr>
        <w:pStyle w:val="Heading2"/>
        <w:spacing w:before="87"/>
        <w:ind w:left="0"/>
        <w:jc w:val="both"/>
      </w:pPr>
    </w:p>
    <w:p w14:paraId="1A788BF4" w14:textId="6B763823" w:rsidR="007945D7" w:rsidRDefault="0098413B" w:rsidP="00B42EF7">
      <w:pPr>
        <w:pStyle w:val="Heading2"/>
        <w:spacing w:before="87"/>
        <w:ind w:left="0"/>
        <w:jc w:val="both"/>
      </w:pPr>
      <w:r>
        <w:t>Referral</w:t>
      </w:r>
      <w:r>
        <w:rPr>
          <w:spacing w:val="-1"/>
        </w:rPr>
        <w:t xml:space="preserve"> </w:t>
      </w:r>
      <w:r>
        <w:rPr>
          <w:spacing w:val="-2"/>
        </w:rPr>
        <w:t>Criteria</w:t>
      </w:r>
      <w:r w:rsidR="00194F68">
        <w:rPr>
          <w:spacing w:val="-2"/>
        </w:rPr>
        <w:t xml:space="preserve"> for Head and Neck Cancer Oral Rehabilitation</w:t>
      </w:r>
    </w:p>
    <w:p w14:paraId="1D9DDCE5" w14:textId="77777777" w:rsidR="007945D7" w:rsidRDefault="007945D7" w:rsidP="00B42EF7">
      <w:pPr>
        <w:pStyle w:val="BodyText"/>
        <w:jc w:val="both"/>
        <w:rPr>
          <w:b/>
        </w:rPr>
      </w:pPr>
    </w:p>
    <w:p w14:paraId="609CD7A4" w14:textId="77777777" w:rsidR="00E82B62" w:rsidRDefault="00E82B62" w:rsidP="00B42EF7">
      <w:pPr>
        <w:pStyle w:val="BodyText"/>
        <w:ind w:right="116"/>
        <w:jc w:val="both"/>
      </w:pPr>
    </w:p>
    <w:p w14:paraId="4C2FFB15" w14:textId="641BD910" w:rsidR="007945D7" w:rsidRDefault="00194F68" w:rsidP="00B42EF7">
      <w:pPr>
        <w:pStyle w:val="BodyText"/>
        <w:ind w:right="116"/>
        <w:jc w:val="both"/>
      </w:pPr>
      <w:r>
        <w:t xml:space="preserve">These referral criteria are outlined to provide General Dental Practitioners (GDPs), Primary Care Specialists, and Hospital Consultants with specific guidance when considering referring head and neck cancer patients for post-surgical and/or post-oncology treatment oral rehabilitation to </w:t>
      </w:r>
      <w:r w:rsidR="00A40041">
        <w:t>the Division of Restorative Dentistry and Periodontology</w:t>
      </w:r>
      <w:r>
        <w:t>, Dublin Dental University Hospital</w:t>
      </w:r>
      <w:r w:rsidR="00881CF7">
        <w:t xml:space="preserve"> (DDUH)</w:t>
      </w:r>
      <w:r w:rsidR="00A40041">
        <w:t>.</w:t>
      </w:r>
    </w:p>
    <w:p w14:paraId="6FC1AC89" w14:textId="77777777" w:rsidR="00194F68" w:rsidRDefault="00194F68" w:rsidP="00B42EF7">
      <w:pPr>
        <w:pStyle w:val="Heading2"/>
        <w:ind w:left="0"/>
        <w:jc w:val="both"/>
      </w:pPr>
    </w:p>
    <w:p w14:paraId="3EF3CDD8" w14:textId="77777777" w:rsidR="00194F68" w:rsidRDefault="00194F68" w:rsidP="00B42EF7">
      <w:pPr>
        <w:pStyle w:val="Heading2"/>
        <w:ind w:left="0"/>
        <w:jc w:val="both"/>
      </w:pPr>
    </w:p>
    <w:p w14:paraId="52F740F0" w14:textId="02EC5133" w:rsidR="007945D7" w:rsidRDefault="00194F68" w:rsidP="00B42EF7">
      <w:pPr>
        <w:pStyle w:val="Heading2"/>
        <w:ind w:left="0"/>
        <w:jc w:val="both"/>
      </w:pPr>
      <w:r>
        <w:t>Waiting times</w:t>
      </w:r>
    </w:p>
    <w:p w14:paraId="30B2F551" w14:textId="77777777" w:rsidR="00194F68" w:rsidRDefault="00194F68" w:rsidP="00B42EF7">
      <w:pPr>
        <w:pStyle w:val="BodyText"/>
        <w:jc w:val="both"/>
        <w:rPr>
          <w:b/>
        </w:rPr>
      </w:pPr>
    </w:p>
    <w:p w14:paraId="3B5D6641" w14:textId="48196F95" w:rsidR="007945D7" w:rsidRDefault="00194F68" w:rsidP="00B42EF7">
      <w:pPr>
        <w:pStyle w:val="BodyText"/>
        <w:jc w:val="both"/>
      </w:pPr>
      <w:r w:rsidRPr="00194F68">
        <w:t>All letters are stratified by the consultants into urgent (to be seen in less than one week), priority (to be seen in less than six weeks)</w:t>
      </w:r>
      <w:r w:rsidR="00353F65">
        <w:t>,</w:t>
      </w:r>
      <w:r w:rsidRPr="00194F68">
        <w:t xml:space="preserve"> </w:t>
      </w:r>
      <w:r w:rsidR="007E1281">
        <w:t>or</w:t>
      </w:r>
      <w:r w:rsidRPr="00194F68">
        <w:t xml:space="preserve"> routine (to be seen in less than one year).</w:t>
      </w:r>
    </w:p>
    <w:p w14:paraId="18C42957" w14:textId="77777777" w:rsidR="00194F68" w:rsidRDefault="00194F68" w:rsidP="00B42EF7">
      <w:pPr>
        <w:pStyle w:val="BodyText"/>
        <w:jc w:val="both"/>
      </w:pPr>
    </w:p>
    <w:p w14:paraId="22FAB803" w14:textId="77777777" w:rsidR="00E82B62" w:rsidRDefault="00E82B62" w:rsidP="00B42EF7">
      <w:pPr>
        <w:pStyle w:val="Heading2"/>
        <w:ind w:left="0"/>
        <w:jc w:val="both"/>
      </w:pPr>
    </w:p>
    <w:p w14:paraId="0928A5D5" w14:textId="096280FA" w:rsidR="007945D7" w:rsidRDefault="0098413B" w:rsidP="00B42EF7">
      <w:pPr>
        <w:pStyle w:val="Heading2"/>
        <w:ind w:left="0"/>
        <w:jc w:val="both"/>
      </w:pPr>
      <w:r>
        <w:t>Collaborative</w:t>
      </w:r>
      <w:r>
        <w:rPr>
          <w:spacing w:val="-5"/>
        </w:rPr>
        <w:t xml:space="preserve"> </w:t>
      </w:r>
      <w:r>
        <w:rPr>
          <w:spacing w:val="-4"/>
        </w:rPr>
        <w:t>Care</w:t>
      </w:r>
    </w:p>
    <w:p w14:paraId="27CE6B0C" w14:textId="77777777" w:rsidR="00E82B62" w:rsidRDefault="00E82B62" w:rsidP="00B42EF7">
      <w:pPr>
        <w:pStyle w:val="BodyText"/>
        <w:spacing w:before="1"/>
        <w:ind w:right="117"/>
        <w:jc w:val="both"/>
      </w:pPr>
    </w:p>
    <w:p w14:paraId="65D12A67" w14:textId="7B00D467" w:rsidR="007945D7" w:rsidRDefault="0098413B" w:rsidP="00B42EF7">
      <w:pPr>
        <w:pStyle w:val="BodyText"/>
        <w:spacing w:before="1"/>
        <w:ind w:right="117"/>
        <w:jc w:val="both"/>
      </w:pPr>
      <w:r>
        <w:t xml:space="preserve">All patients accepted for </w:t>
      </w:r>
      <w:r w:rsidR="001B0E3B">
        <w:t xml:space="preserve">care </w:t>
      </w:r>
      <w:r>
        <w:t>should remain registered with a General Dental Practitioner (GDP)</w:t>
      </w:r>
      <w:r w:rsidR="00653274">
        <w:t xml:space="preserve"> during the course of their treatment in DDUH</w:t>
      </w:r>
      <w:r>
        <w:t>.</w:t>
      </w:r>
      <w:r w:rsidR="00881CF7">
        <w:t xml:space="preserve"> </w:t>
      </w:r>
      <w:r w:rsidR="00653274">
        <w:t>Alternatively,</w:t>
      </w:r>
      <w:r w:rsidR="00881CF7">
        <w:t xml:space="preserve"> if a patient is not registered</w:t>
      </w:r>
      <w:r w:rsidR="00653274">
        <w:t xml:space="preserve"> with a GDP</w:t>
      </w:r>
      <w:r w:rsidR="00881CF7">
        <w:t>, they should actively seek registration</w:t>
      </w:r>
      <w:r w:rsidR="001B0E3B">
        <w:t>.</w:t>
      </w:r>
    </w:p>
    <w:p w14:paraId="34B57A3B" w14:textId="77777777" w:rsidR="00E82B62" w:rsidRDefault="00E82B62" w:rsidP="00B42EF7">
      <w:pPr>
        <w:pStyle w:val="BodyText"/>
        <w:ind w:right="122"/>
        <w:jc w:val="both"/>
      </w:pPr>
    </w:p>
    <w:p w14:paraId="2454A7E2" w14:textId="2C94705D" w:rsidR="007945D7" w:rsidRDefault="0098413B" w:rsidP="00B42EF7">
      <w:pPr>
        <w:pStyle w:val="BodyText"/>
        <w:ind w:right="122"/>
        <w:jc w:val="both"/>
      </w:pPr>
      <w:r>
        <w:t>During treatment with</w:t>
      </w:r>
      <w:r w:rsidR="001B0E3B">
        <w:t>in</w:t>
      </w:r>
      <w:r>
        <w:t xml:space="preserve"> the </w:t>
      </w:r>
      <w:r w:rsidR="003D1689">
        <w:t>Division of Restorative Dentistry and Periodontology</w:t>
      </w:r>
      <w:r>
        <w:t>, it is expected that the</w:t>
      </w:r>
      <w:r w:rsidR="001B0E3B">
        <w:t xml:space="preserve"> patient’s</w:t>
      </w:r>
      <w:r>
        <w:t xml:space="preserve"> GDP will continue to see their patient for routine </w:t>
      </w:r>
      <w:r w:rsidR="001B0E3B">
        <w:t>dental care</w:t>
      </w:r>
      <w:r>
        <w:t>.</w:t>
      </w:r>
    </w:p>
    <w:p w14:paraId="0D464C2F" w14:textId="77777777" w:rsidR="00E82B62" w:rsidRDefault="00E82B62" w:rsidP="00B42EF7">
      <w:pPr>
        <w:pStyle w:val="BodyText"/>
        <w:ind w:right="117"/>
        <w:jc w:val="both"/>
      </w:pPr>
    </w:p>
    <w:p w14:paraId="5EB9433F" w14:textId="305CDAB8" w:rsidR="007945D7" w:rsidRDefault="0098413B" w:rsidP="00B42EF7">
      <w:pPr>
        <w:pStyle w:val="BodyText"/>
        <w:ind w:right="117"/>
        <w:jc w:val="both"/>
      </w:pPr>
      <w:r>
        <w:t xml:space="preserve">The GDP is expected to participate in </w:t>
      </w:r>
      <w:r w:rsidR="001B0E3B">
        <w:t xml:space="preserve">a </w:t>
      </w:r>
      <w:r>
        <w:t xml:space="preserve">‘shared care’ </w:t>
      </w:r>
      <w:r w:rsidR="001B0E3B">
        <w:t xml:space="preserve">approach </w:t>
      </w:r>
      <w:r>
        <w:t xml:space="preserve">with the </w:t>
      </w:r>
      <w:r w:rsidR="003D1689">
        <w:t>Division</w:t>
      </w:r>
      <w:r>
        <w:t xml:space="preserve"> and will </w:t>
      </w:r>
      <w:r w:rsidR="0067224D">
        <w:t>attend to</w:t>
      </w:r>
      <w:r>
        <w:t xml:space="preserve"> all other aspects of the patient's dental </w:t>
      </w:r>
      <w:r w:rsidR="001B0E3B">
        <w:t>needs</w:t>
      </w:r>
      <w:r>
        <w:t>.</w:t>
      </w:r>
      <w:r>
        <w:rPr>
          <w:spacing w:val="40"/>
        </w:rPr>
        <w:t xml:space="preserve"> </w:t>
      </w:r>
      <w:r>
        <w:t xml:space="preserve">Following completion of </w:t>
      </w:r>
      <w:r w:rsidR="00881CF7">
        <w:t xml:space="preserve">a single course of </w:t>
      </w:r>
      <w:r>
        <w:t>specialist</w:t>
      </w:r>
      <w:r w:rsidR="001B0E3B">
        <w:t xml:space="preserve"> level</w:t>
      </w:r>
      <w:r>
        <w:t xml:space="preserve"> treatment</w:t>
      </w:r>
      <w:r w:rsidR="001B0E3B">
        <w:t xml:space="preserve"> in DDUH</w:t>
      </w:r>
      <w:r>
        <w:t xml:space="preserve">, patients will be discharged </w:t>
      </w:r>
      <w:r w:rsidR="001B0E3B">
        <w:t xml:space="preserve">back </w:t>
      </w:r>
      <w:r>
        <w:t>to their GDP for ongoing dental care and maintenance.</w:t>
      </w:r>
    </w:p>
    <w:p w14:paraId="4A5376BC" w14:textId="77777777" w:rsidR="00E82B62" w:rsidRDefault="00E82B62" w:rsidP="00B42EF7">
      <w:pPr>
        <w:pStyle w:val="Heading2"/>
        <w:jc w:val="both"/>
      </w:pPr>
    </w:p>
    <w:p w14:paraId="76DF344B" w14:textId="77777777" w:rsidR="00E82B62" w:rsidRDefault="00E82B62" w:rsidP="00B42EF7">
      <w:pPr>
        <w:pStyle w:val="Heading2"/>
        <w:ind w:left="0"/>
        <w:jc w:val="both"/>
      </w:pPr>
    </w:p>
    <w:p w14:paraId="63E53158" w14:textId="20BC679A" w:rsidR="007945D7" w:rsidRDefault="0098413B" w:rsidP="00B42EF7">
      <w:pPr>
        <w:pStyle w:val="Heading2"/>
        <w:ind w:left="0"/>
        <w:jc w:val="both"/>
      </w:pPr>
      <w:r>
        <w:t>Patient</w:t>
      </w:r>
      <w:r>
        <w:rPr>
          <w:spacing w:val="-2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expectations</w:t>
      </w:r>
    </w:p>
    <w:p w14:paraId="6AA2EC89" w14:textId="77777777" w:rsidR="007945D7" w:rsidRDefault="007945D7" w:rsidP="00B42EF7">
      <w:pPr>
        <w:pStyle w:val="BodyText"/>
        <w:jc w:val="both"/>
        <w:rPr>
          <w:b/>
        </w:rPr>
      </w:pPr>
    </w:p>
    <w:p w14:paraId="07592F5F" w14:textId="4D11E062" w:rsidR="007945D7" w:rsidRDefault="0098413B" w:rsidP="00B42EF7">
      <w:pPr>
        <w:pStyle w:val="BodyText"/>
        <w:spacing w:before="1"/>
        <w:ind w:right="118"/>
        <w:jc w:val="both"/>
      </w:pPr>
      <w:r>
        <w:t>It is expected that all patients will have been given instruction regarding</w:t>
      </w:r>
      <w:r w:rsidR="001B0E3B">
        <w:t xml:space="preserve"> the</w:t>
      </w:r>
      <w:r>
        <w:t xml:space="preserve"> primary pre</w:t>
      </w:r>
      <w:r>
        <w:t>vention of dental disease prior to referral. In all cases,</w:t>
      </w:r>
      <w:r w:rsidR="001B0E3B">
        <w:t xml:space="preserve"> the</w:t>
      </w:r>
      <w:r>
        <w:t xml:space="preserve"> acceptance</w:t>
      </w:r>
      <w:r>
        <w:rPr>
          <w:spacing w:val="40"/>
        </w:rPr>
        <w:t xml:space="preserve"> </w:t>
      </w:r>
      <w:r>
        <w:t xml:space="preserve">of </w:t>
      </w:r>
      <w:r w:rsidR="001B0E3B">
        <w:t xml:space="preserve">a </w:t>
      </w:r>
      <w:r>
        <w:t>referral will be related to clinical need. Th</w:t>
      </w:r>
      <w:r w:rsidR="001B0E3B">
        <w:t>e</w:t>
      </w:r>
      <w:r>
        <w:t xml:space="preserve"> restorability and strategic value of</w:t>
      </w:r>
      <w:r>
        <w:rPr>
          <w:spacing w:val="40"/>
        </w:rPr>
        <w:t xml:space="preserve"> </w:t>
      </w:r>
      <w:r>
        <w:t>the teeth should be carefully assessed before a referral is made.</w:t>
      </w:r>
    </w:p>
    <w:p w14:paraId="3F66A182" w14:textId="0252D29C" w:rsidR="007945D7" w:rsidRDefault="0098413B" w:rsidP="00B42EF7">
      <w:pPr>
        <w:pStyle w:val="BodyText"/>
        <w:spacing w:before="276"/>
        <w:ind w:right="116"/>
        <w:jc w:val="both"/>
        <w:sectPr w:rsidR="007945D7">
          <w:footerReference w:type="default" r:id="rId8"/>
          <w:type w:val="continuous"/>
          <w:pgSz w:w="11920" w:h="16850"/>
          <w:pgMar w:top="800" w:right="1559" w:bottom="1160" w:left="1275" w:header="0" w:footer="976" w:gutter="0"/>
          <w:pgNumType w:start="1"/>
          <w:cols w:space="720"/>
        </w:sectPr>
      </w:pPr>
      <w:r>
        <w:t xml:space="preserve">Acceptance of a referral will </w:t>
      </w:r>
      <w:r w:rsidR="001B0E3B">
        <w:t>entail</w:t>
      </w:r>
      <w:r>
        <w:t xml:space="preserve"> an initial consultation which </w:t>
      </w:r>
      <w:r w:rsidR="00E82B62">
        <w:t>may</w:t>
      </w:r>
      <w:r>
        <w:t xml:space="preserve"> allow a treatment plan and guidance to be </w:t>
      </w:r>
      <w:r w:rsidR="000E72A8">
        <w:t>formulated</w:t>
      </w:r>
      <w:r>
        <w:t xml:space="preserve"> for</w:t>
      </w:r>
      <w:r w:rsidR="00881731">
        <w:t xml:space="preserve"> the</w:t>
      </w:r>
      <w:r>
        <w:t xml:space="preserve"> delivery </w:t>
      </w:r>
      <w:r w:rsidR="001B0E3B">
        <w:t xml:space="preserve">of care </w:t>
      </w:r>
      <w:r>
        <w:t xml:space="preserve">in </w:t>
      </w:r>
      <w:r w:rsidR="00BB177A">
        <w:t xml:space="preserve">the </w:t>
      </w:r>
      <w:r>
        <w:t>primary care</w:t>
      </w:r>
      <w:r w:rsidR="00BB177A">
        <w:t xml:space="preserve"> sector</w:t>
      </w:r>
      <w:r>
        <w:t xml:space="preserve">. It does not </w:t>
      </w:r>
      <w:r w:rsidR="001B0E3B">
        <w:t xml:space="preserve">necessarily </w:t>
      </w:r>
      <w:r>
        <w:t xml:space="preserve">mean that the patient will be accepted for </w:t>
      </w:r>
      <w:r>
        <w:rPr>
          <w:spacing w:val="-2"/>
        </w:rPr>
        <w:t>treatment</w:t>
      </w:r>
      <w:r w:rsidR="001B0E3B">
        <w:rPr>
          <w:spacing w:val="-2"/>
        </w:rPr>
        <w:t xml:space="preserve"> in DDUH</w:t>
      </w:r>
      <w:r>
        <w:rPr>
          <w:spacing w:val="-2"/>
        </w:rPr>
        <w:t>.</w:t>
      </w:r>
    </w:p>
    <w:p w14:paraId="1EC5682A" w14:textId="232F221C" w:rsidR="00E82B62" w:rsidRDefault="0098413B" w:rsidP="00B42EF7">
      <w:pPr>
        <w:pStyle w:val="BodyText"/>
        <w:spacing w:before="274"/>
        <w:jc w:val="both"/>
      </w:pPr>
      <w:r>
        <w:lastRenderedPageBreak/>
        <w:t>A</w:t>
      </w:r>
      <w:r>
        <w:rPr>
          <w:spacing w:val="40"/>
        </w:rPr>
        <w:t xml:space="preserve"> </w:t>
      </w:r>
      <w:r>
        <w:t>referral</w:t>
      </w:r>
      <w:r>
        <w:rPr>
          <w:spacing w:val="40"/>
        </w:rPr>
        <w:t xml:space="preserve"> </w:t>
      </w:r>
      <w:r>
        <w:t>pro-forma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fully</w:t>
      </w:r>
      <w:r>
        <w:rPr>
          <w:spacing w:val="40"/>
        </w:rPr>
        <w:t xml:space="preserve"> </w:t>
      </w:r>
      <w:r>
        <w:t>completed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referrals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 w:rsidR="00A40041">
        <w:t>Division of Restorative Dentistry and Periodontology</w:t>
      </w:r>
      <w:r w:rsidR="00E82B62">
        <w:t xml:space="preserve"> (available on our website). </w:t>
      </w:r>
    </w:p>
    <w:p w14:paraId="64D274E3" w14:textId="716A186A" w:rsidR="007945D7" w:rsidRDefault="0098413B" w:rsidP="00B42EF7">
      <w:pPr>
        <w:pStyle w:val="BodyText"/>
        <w:spacing w:before="274"/>
        <w:jc w:val="both"/>
      </w:pPr>
      <w:r>
        <w:t>The responsibility for making an appropriate referral rests with the referring health care professional.</w:t>
      </w:r>
      <w:r w:rsidR="00E82B62">
        <w:t xml:space="preserve"> </w:t>
      </w:r>
      <w:r>
        <w:t>Incomplete</w:t>
      </w:r>
      <w:r>
        <w:rPr>
          <w:spacing w:val="-6"/>
        </w:rPr>
        <w:t xml:space="preserve"> </w:t>
      </w:r>
      <w:r>
        <w:t>referrals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sender</w:t>
      </w:r>
      <w:r>
        <w:rPr>
          <w:spacing w:val="-3"/>
        </w:rPr>
        <w:t xml:space="preserve"> </w:t>
      </w:r>
      <w:r>
        <w:t>outlining</w:t>
      </w:r>
      <w:r w:rsidR="00C41A39">
        <w:t xml:space="preserve"> the</w:t>
      </w:r>
      <w:r>
        <w:rPr>
          <w:spacing w:val="-5"/>
        </w:rPr>
        <w:t xml:space="preserve"> </w:t>
      </w:r>
      <w:r>
        <w:t>reason(s)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return.</w:t>
      </w:r>
    </w:p>
    <w:p w14:paraId="78DB1051" w14:textId="77777777" w:rsidR="007945D7" w:rsidRDefault="007945D7" w:rsidP="00B42EF7">
      <w:pPr>
        <w:pStyle w:val="BodyText"/>
        <w:jc w:val="both"/>
      </w:pPr>
    </w:p>
    <w:p w14:paraId="070DDAD5" w14:textId="542CE8D1" w:rsidR="007945D7" w:rsidRDefault="0098413B" w:rsidP="00B42EF7">
      <w:pPr>
        <w:pStyle w:val="BodyText"/>
        <w:ind w:right="120"/>
        <w:jc w:val="both"/>
      </w:pPr>
      <w:r>
        <w:t>The referral criteria outlined ensures that the consultant</w:t>
      </w:r>
      <w:r w:rsidR="001B0E3B">
        <w:t>-</w:t>
      </w:r>
      <w:r>
        <w:t>led dental teams in</w:t>
      </w:r>
      <w:r w:rsidR="00E82B62">
        <w:t xml:space="preserve"> Dublin Dental University Hospital</w:t>
      </w:r>
      <w:r>
        <w:t xml:space="preserve"> provide appropriate specialist care to those patients with complex restorative </w:t>
      </w:r>
      <w:r>
        <w:rPr>
          <w:spacing w:val="-2"/>
        </w:rPr>
        <w:t>needs.</w:t>
      </w:r>
    </w:p>
    <w:p w14:paraId="3990C3F8" w14:textId="77777777" w:rsidR="007945D7" w:rsidRDefault="007945D7" w:rsidP="00B42EF7">
      <w:pPr>
        <w:pStyle w:val="BodyText"/>
        <w:jc w:val="both"/>
      </w:pPr>
    </w:p>
    <w:p w14:paraId="01BAC97B" w14:textId="6E31A2D6" w:rsidR="007945D7" w:rsidRDefault="0098413B" w:rsidP="00B42EF7">
      <w:pPr>
        <w:pStyle w:val="BodyText"/>
        <w:spacing w:before="1"/>
        <w:jc w:val="both"/>
      </w:pPr>
      <w:r>
        <w:t>The</w:t>
      </w:r>
      <w:r>
        <w:rPr>
          <w:spacing w:val="-5"/>
        </w:rPr>
        <w:t xml:space="preserve"> </w:t>
      </w:r>
      <w:r w:rsidR="00A40041">
        <w:t>Division of Restorative Dentistry and Periodontology</w:t>
      </w:r>
      <w:r>
        <w:rPr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spacing w:val="-2"/>
        </w:rPr>
        <w:t>accept:</w:t>
      </w:r>
    </w:p>
    <w:p w14:paraId="75D012A0" w14:textId="77777777" w:rsidR="007945D7" w:rsidRDefault="007945D7" w:rsidP="00B42EF7">
      <w:pPr>
        <w:pStyle w:val="BodyText"/>
        <w:jc w:val="both"/>
      </w:pPr>
    </w:p>
    <w:p w14:paraId="4A678501" w14:textId="26944E8D" w:rsidR="007945D7" w:rsidRDefault="0098413B" w:rsidP="00B42EF7">
      <w:pPr>
        <w:pStyle w:val="ListParagraph"/>
        <w:numPr>
          <w:ilvl w:val="0"/>
          <w:numId w:val="2"/>
        </w:numPr>
        <w:tabs>
          <w:tab w:val="left" w:pos="784"/>
        </w:tabs>
        <w:ind w:right="117"/>
        <w:jc w:val="both"/>
        <w:rPr>
          <w:sz w:val="24"/>
        </w:rPr>
      </w:pPr>
      <w:r>
        <w:rPr>
          <w:sz w:val="24"/>
        </w:rPr>
        <w:t xml:space="preserve">Patients who have been previously treated in the </w:t>
      </w:r>
      <w:r w:rsidR="007B350A">
        <w:rPr>
          <w:sz w:val="24"/>
        </w:rPr>
        <w:t>Division of Restorative Dentistry and Periodontology</w:t>
      </w:r>
      <w:r>
        <w:rPr>
          <w:spacing w:val="-3"/>
          <w:sz w:val="24"/>
        </w:rPr>
        <w:t xml:space="preserve"> </w:t>
      </w:r>
      <w:r>
        <w:rPr>
          <w:sz w:val="24"/>
        </w:rPr>
        <w:t>if their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dental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now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managed in</w:t>
      </w:r>
      <w:r>
        <w:rPr>
          <w:spacing w:val="-2"/>
          <w:sz w:val="24"/>
        </w:rPr>
        <w:t xml:space="preserve"> </w:t>
      </w:r>
      <w:r w:rsidR="00E82B62">
        <w:rPr>
          <w:sz w:val="24"/>
        </w:rPr>
        <w:t>primary care</w:t>
      </w:r>
      <w:r>
        <w:rPr>
          <w:sz w:val="24"/>
        </w:rPr>
        <w:t>;</w:t>
      </w:r>
    </w:p>
    <w:p w14:paraId="006651F5" w14:textId="77777777" w:rsidR="007945D7" w:rsidRDefault="007945D7" w:rsidP="00B42EF7">
      <w:pPr>
        <w:pStyle w:val="BodyText"/>
        <w:spacing w:before="4"/>
        <w:jc w:val="both"/>
      </w:pPr>
    </w:p>
    <w:p w14:paraId="3C8E8E99" w14:textId="778FA0D3" w:rsidR="007945D7" w:rsidRPr="00E82B62" w:rsidRDefault="0098413B" w:rsidP="00B42EF7">
      <w:pPr>
        <w:pStyle w:val="ListParagraph"/>
        <w:numPr>
          <w:ilvl w:val="0"/>
          <w:numId w:val="2"/>
        </w:numPr>
        <w:tabs>
          <w:tab w:val="left" w:pos="784"/>
        </w:tabs>
        <w:spacing w:line="235" w:lineRule="auto"/>
        <w:ind w:right="119"/>
        <w:jc w:val="both"/>
        <w:rPr>
          <w:sz w:val="24"/>
        </w:rPr>
        <w:sectPr w:rsidR="007945D7" w:rsidRPr="00E82B62">
          <w:pgSz w:w="11920" w:h="16850"/>
          <w:pgMar w:top="1260" w:right="1559" w:bottom="1160" w:left="1275" w:header="0" w:footer="976" w:gutter="0"/>
          <w:cols w:space="720"/>
        </w:sectPr>
      </w:pPr>
      <w:r>
        <w:rPr>
          <w:sz w:val="24"/>
        </w:rPr>
        <w:t xml:space="preserve">Patients unwilling to meet financial costs of treatment in </w:t>
      </w:r>
      <w:r w:rsidR="00E82B62">
        <w:rPr>
          <w:sz w:val="24"/>
        </w:rPr>
        <w:t>the primary care</w:t>
      </w:r>
      <w:r w:rsidR="00A40041">
        <w:rPr>
          <w:sz w:val="24"/>
        </w:rPr>
        <w:t xml:space="preserve"> s</w:t>
      </w:r>
      <w:r w:rsidR="00E82B62">
        <w:rPr>
          <w:sz w:val="24"/>
        </w:rPr>
        <w:t>ector</w:t>
      </w:r>
      <w:r w:rsidR="00A40041">
        <w:rPr>
          <w:sz w:val="24"/>
        </w:rPr>
        <w:t>.</w:t>
      </w:r>
    </w:p>
    <w:p w14:paraId="3CE7E52F" w14:textId="2F57B324" w:rsidR="00FC6E2A" w:rsidRDefault="00FC6E2A" w:rsidP="00B42EF7">
      <w:pPr>
        <w:pStyle w:val="Heading2"/>
        <w:spacing w:before="74"/>
        <w:ind w:left="0"/>
        <w:jc w:val="both"/>
      </w:pPr>
      <w:r>
        <w:lastRenderedPageBreak/>
        <w:t>Post-treatment head and neck cancer oral rehabilitation</w:t>
      </w:r>
    </w:p>
    <w:p w14:paraId="274FFE8A" w14:textId="77777777" w:rsidR="00FC6E2A" w:rsidRDefault="00FC6E2A" w:rsidP="00B42EF7">
      <w:pPr>
        <w:pStyle w:val="BodyText"/>
        <w:jc w:val="both"/>
        <w:rPr>
          <w:b/>
        </w:rPr>
      </w:pPr>
    </w:p>
    <w:p w14:paraId="4DBBC42A" w14:textId="69DF73AA" w:rsidR="00FC6E2A" w:rsidRDefault="00FC6E2A" w:rsidP="00B42EF7">
      <w:pPr>
        <w:pStyle w:val="BodyText"/>
        <w:ind w:right="125"/>
        <w:jc w:val="both"/>
      </w:pPr>
      <w:r>
        <w:t>These referral guidelines are in line with those established in major dental hospitals across the United Kingdom</w:t>
      </w:r>
      <w:r w:rsidR="001B0E3B">
        <w:t>,</w:t>
      </w:r>
      <w:r>
        <w:t xml:space="preserve"> and the Royal College of Surgeons </w:t>
      </w:r>
      <w:r w:rsidRPr="00C41A39">
        <w:rPr>
          <w:i/>
          <w:iCs/>
        </w:rPr>
        <w:t>‘Guidance on the standards of care for NHS-funded dental implant treatment, 2019’.</w:t>
      </w:r>
    </w:p>
    <w:p w14:paraId="2EB8B9E9" w14:textId="607959D2" w:rsidR="00FC6E2A" w:rsidRDefault="00FC6E2A" w:rsidP="00B42EF7">
      <w:pPr>
        <w:pStyle w:val="BodyText"/>
        <w:ind w:right="125"/>
        <w:jc w:val="both"/>
      </w:pPr>
      <w:r>
        <w:t xml:space="preserve"> </w:t>
      </w:r>
    </w:p>
    <w:p w14:paraId="7FC0DD9B" w14:textId="58D5FE5C" w:rsidR="00FC6E2A" w:rsidRDefault="00FC6E2A" w:rsidP="00B42EF7">
      <w:pPr>
        <w:pStyle w:val="BodyText"/>
        <w:ind w:right="126"/>
        <w:jc w:val="both"/>
      </w:pPr>
      <w:r>
        <w:t>All patients referred should have a good level of oral hygiene.</w:t>
      </w:r>
    </w:p>
    <w:p w14:paraId="7BF2F8A8" w14:textId="77777777" w:rsidR="007B350A" w:rsidRDefault="007B350A" w:rsidP="00B42EF7">
      <w:pPr>
        <w:pStyle w:val="BodyText"/>
        <w:ind w:right="126"/>
        <w:jc w:val="both"/>
      </w:pPr>
    </w:p>
    <w:p w14:paraId="3E2A6F98" w14:textId="563B58FE" w:rsidR="00FC6E2A" w:rsidRDefault="00FC6E2A" w:rsidP="00B42EF7">
      <w:pPr>
        <w:pStyle w:val="BodyText"/>
        <w:jc w:val="both"/>
      </w:pPr>
      <w:r>
        <w:t>The</w:t>
      </w:r>
      <w:r>
        <w:rPr>
          <w:spacing w:val="-5"/>
        </w:rPr>
        <w:t xml:space="preserve"> </w:t>
      </w:r>
      <w:r w:rsidR="007B350A">
        <w:t>head and neck cancer oral rehabilitation service</w:t>
      </w:r>
      <w:r>
        <w:rPr>
          <w:spacing w:val="-6"/>
        </w:rPr>
        <w:t xml:space="preserve"> </w:t>
      </w:r>
      <w:r>
        <w:t>accepts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2"/>
        </w:rPr>
        <w:t xml:space="preserve"> </w:t>
      </w:r>
      <w:r w:rsidR="007B350A">
        <w:rPr>
          <w:spacing w:val="-2"/>
        </w:rPr>
        <w:t>referrals</w:t>
      </w:r>
      <w:r>
        <w:rPr>
          <w:spacing w:val="-2"/>
        </w:rPr>
        <w:t>:</w:t>
      </w:r>
    </w:p>
    <w:p w14:paraId="3E9CFC69" w14:textId="6E06EFD5" w:rsidR="00FC6E2A" w:rsidRDefault="00FC6E2A" w:rsidP="00B42EF7">
      <w:pPr>
        <w:pStyle w:val="ListParagraph"/>
        <w:numPr>
          <w:ilvl w:val="0"/>
          <w:numId w:val="2"/>
        </w:numPr>
        <w:tabs>
          <w:tab w:val="left" w:pos="784"/>
        </w:tabs>
        <w:spacing w:before="274"/>
        <w:ind w:right="119"/>
        <w:jc w:val="both"/>
        <w:rPr>
          <w:sz w:val="24"/>
        </w:rPr>
      </w:pPr>
      <w:r>
        <w:rPr>
          <w:sz w:val="24"/>
        </w:rPr>
        <w:t xml:space="preserve">Patients </w:t>
      </w:r>
      <w:r w:rsidR="007B350A">
        <w:rPr>
          <w:sz w:val="24"/>
        </w:rPr>
        <w:t>that require full or partial removable prostheses</w:t>
      </w:r>
      <w:r>
        <w:rPr>
          <w:sz w:val="24"/>
        </w:rPr>
        <w:t xml:space="preserve"> </w:t>
      </w:r>
      <w:r w:rsidR="007B350A">
        <w:rPr>
          <w:sz w:val="24"/>
        </w:rPr>
        <w:t xml:space="preserve">(including obturators) </w:t>
      </w:r>
      <w:r>
        <w:rPr>
          <w:sz w:val="24"/>
        </w:rPr>
        <w:t xml:space="preserve">following surgical removal of </w:t>
      </w:r>
      <w:r w:rsidR="007B350A">
        <w:rPr>
          <w:sz w:val="24"/>
        </w:rPr>
        <w:t>a tumour within the oral cavity (e.g. glossectomy, mandibulectomy, maxillectomy)</w:t>
      </w:r>
      <w:r w:rsidR="00633C06">
        <w:rPr>
          <w:sz w:val="24"/>
        </w:rPr>
        <w:t xml:space="preserve"> and completed within the following HSE regions – HSE Dublin and North East, and HSE Dublin and South East</w:t>
      </w:r>
      <w:r>
        <w:rPr>
          <w:sz w:val="24"/>
        </w:rPr>
        <w:t>;</w:t>
      </w:r>
    </w:p>
    <w:p w14:paraId="4D1CF109" w14:textId="2A0FC5F5" w:rsidR="007B350A" w:rsidRDefault="007B350A" w:rsidP="00B42EF7">
      <w:pPr>
        <w:pStyle w:val="ListParagraph"/>
        <w:numPr>
          <w:ilvl w:val="0"/>
          <w:numId w:val="2"/>
        </w:numPr>
        <w:tabs>
          <w:tab w:val="left" w:pos="784"/>
        </w:tabs>
        <w:spacing w:before="274"/>
        <w:ind w:right="119"/>
        <w:jc w:val="both"/>
        <w:rPr>
          <w:sz w:val="24"/>
        </w:rPr>
      </w:pPr>
      <w:r>
        <w:rPr>
          <w:sz w:val="24"/>
        </w:rPr>
        <w:t xml:space="preserve">Patients with aggressive or advanced radiation dental caries (tooth decay) that has </w:t>
      </w:r>
      <w:r w:rsidR="00C908B6">
        <w:rPr>
          <w:sz w:val="24"/>
        </w:rPr>
        <w:t>not been</w:t>
      </w:r>
      <w:r>
        <w:rPr>
          <w:sz w:val="24"/>
        </w:rPr>
        <w:t xml:space="preserve"> controlled in </w:t>
      </w:r>
      <w:r w:rsidR="00A7277C">
        <w:rPr>
          <w:sz w:val="24"/>
        </w:rPr>
        <w:t xml:space="preserve">a </w:t>
      </w:r>
      <w:r>
        <w:rPr>
          <w:sz w:val="24"/>
        </w:rPr>
        <w:t>primary care</w:t>
      </w:r>
      <w:r w:rsidR="00A7277C">
        <w:rPr>
          <w:sz w:val="24"/>
        </w:rPr>
        <w:t xml:space="preserve"> setting</w:t>
      </w:r>
      <w:r>
        <w:rPr>
          <w:sz w:val="24"/>
        </w:rPr>
        <w:t>;</w:t>
      </w:r>
    </w:p>
    <w:p w14:paraId="278C2C53" w14:textId="77777777" w:rsidR="00FC6E2A" w:rsidRDefault="00FC6E2A" w:rsidP="00B42EF7">
      <w:pPr>
        <w:pStyle w:val="BodyText"/>
        <w:spacing w:before="4"/>
        <w:jc w:val="both"/>
      </w:pPr>
    </w:p>
    <w:p w14:paraId="478D405F" w14:textId="5CE0CAF7" w:rsidR="00FC6E2A" w:rsidRDefault="00FC6E2A" w:rsidP="00B42EF7">
      <w:pPr>
        <w:pStyle w:val="ListParagraph"/>
        <w:numPr>
          <w:ilvl w:val="0"/>
          <w:numId w:val="2"/>
        </w:numPr>
        <w:tabs>
          <w:tab w:val="left" w:pos="784"/>
        </w:tabs>
        <w:spacing w:line="235" w:lineRule="auto"/>
        <w:ind w:right="126"/>
        <w:jc w:val="both"/>
        <w:rPr>
          <w:sz w:val="24"/>
        </w:rPr>
      </w:pPr>
      <w:r>
        <w:rPr>
          <w:sz w:val="24"/>
          <w:u w:val="single"/>
        </w:rPr>
        <w:t>Dental Implants</w:t>
      </w:r>
      <w:r w:rsidR="007B350A">
        <w:rPr>
          <w:sz w:val="24"/>
          <w:u w:val="single"/>
        </w:rPr>
        <w:t>*</w:t>
      </w:r>
      <w:r>
        <w:rPr>
          <w:sz w:val="24"/>
        </w:rPr>
        <w:t xml:space="preserve">: The </w:t>
      </w:r>
      <w:r w:rsidR="00633C06">
        <w:rPr>
          <w:sz w:val="24"/>
        </w:rPr>
        <w:t xml:space="preserve">prosthetic replacement </w:t>
      </w:r>
      <w:r>
        <w:rPr>
          <w:sz w:val="24"/>
        </w:rPr>
        <w:t>of missing teeth with dental implants under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</w:t>
      </w:r>
      <w:r w:rsidR="007B350A">
        <w:rPr>
          <w:sz w:val="24"/>
        </w:rPr>
        <w:t>service</w:t>
      </w:r>
      <w:r>
        <w:rPr>
          <w:sz w:val="24"/>
        </w:rPr>
        <w:t xml:space="preserve"> is reserved for patients who have:</w:t>
      </w:r>
    </w:p>
    <w:p w14:paraId="7F748C63" w14:textId="77777777" w:rsidR="00FC6E2A" w:rsidRDefault="00FC6E2A" w:rsidP="00B42EF7">
      <w:pPr>
        <w:pStyle w:val="BodyText"/>
        <w:jc w:val="both"/>
      </w:pPr>
    </w:p>
    <w:p w14:paraId="353AAF2C" w14:textId="57970422" w:rsidR="00FC6E2A" w:rsidRDefault="00FC6E2A" w:rsidP="00B42EF7">
      <w:pPr>
        <w:pStyle w:val="ListParagraph"/>
        <w:numPr>
          <w:ilvl w:val="0"/>
          <w:numId w:val="1"/>
        </w:numPr>
        <w:tabs>
          <w:tab w:val="left" w:pos="1503"/>
        </w:tabs>
        <w:ind w:left="1503" w:hanging="359"/>
        <w:jc w:val="both"/>
        <w:rPr>
          <w:sz w:val="24"/>
        </w:rPr>
      </w:pP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resective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 w:rsidR="007B350A">
        <w:rPr>
          <w:sz w:val="24"/>
        </w:rPr>
        <w:t xml:space="preserve"> cavity</w:t>
      </w:r>
      <w:r>
        <w:rPr>
          <w:spacing w:val="-3"/>
          <w:sz w:val="24"/>
        </w:rPr>
        <w:t xml:space="preserve"> </w:t>
      </w:r>
      <w:r>
        <w:rPr>
          <w:sz w:val="24"/>
        </w:rPr>
        <w:t>surgery</w:t>
      </w:r>
      <w:r>
        <w:rPr>
          <w:spacing w:val="-4"/>
          <w:sz w:val="24"/>
        </w:rPr>
        <w:t xml:space="preserve"> </w:t>
      </w:r>
      <w:r w:rsidR="00C908B6">
        <w:rPr>
          <w:sz w:val="24"/>
        </w:rPr>
        <w:t>and require</w:t>
      </w:r>
      <w:r>
        <w:rPr>
          <w:spacing w:val="-1"/>
          <w:sz w:val="24"/>
        </w:rPr>
        <w:t xml:space="preserve"> </w:t>
      </w:r>
      <w:r>
        <w:rPr>
          <w:sz w:val="24"/>
        </w:rPr>
        <w:t>retention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7B350A">
        <w:rPr>
          <w:spacing w:val="-3"/>
          <w:sz w:val="24"/>
        </w:rPr>
        <w:t xml:space="preserve">an </w:t>
      </w:r>
      <w:r>
        <w:rPr>
          <w:spacing w:val="-2"/>
          <w:sz w:val="24"/>
        </w:rPr>
        <w:t>obturator;</w:t>
      </w:r>
    </w:p>
    <w:p w14:paraId="275EF28B" w14:textId="28FD87D1" w:rsidR="00FC6E2A" w:rsidRDefault="00FC6E2A" w:rsidP="00B42EF7">
      <w:pPr>
        <w:pStyle w:val="ListParagraph"/>
        <w:numPr>
          <w:ilvl w:val="0"/>
          <w:numId w:val="1"/>
        </w:numPr>
        <w:tabs>
          <w:tab w:val="left" w:pos="1503"/>
          <w:tab w:val="left" w:pos="1533"/>
        </w:tabs>
        <w:spacing w:before="269" w:line="223" w:lineRule="auto"/>
        <w:ind w:left="1533" w:right="1827" w:hanging="389"/>
        <w:jc w:val="both"/>
        <w:rPr>
          <w:sz w:val="24"/>
        </w:rPr>
      </w:pP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rim</w:t>
      </w:r>
      <w:r>
        <w:rPr>
          <w:spacing w:val="-2"/>
          <w:sz w:val="24"/>
        </w:rPr>
        <w:t xml:space="preserve"> </w:t>
      </w:r>
      <w:r>
        <w:rPr>
          <w:sz w:val="24"/>
        </w:rPr>
        <w:t>resection +/-</w:t>
      </w:r>
      <w:r>
        <w:rPr>
          <w:spacing w:val="-7"/>
          <w:sz w:val="24"/>
        </w:rPr>
        <w:t xml:space="preserve"> </w:t>
      </w:r>
      <w:r>
        <w:rPr>
          <w:sz w:val="24"/>
        </w:rPr>
        <w:t>free</w:t>
      </w:r>
      <w:r>
        <w:rPr>
          <w:spacing w:val="-6"/>
          <w:sz w:val="24"/>
        </w:rPr>
        <w:t xml:space="preserve"> </w:t>
      </w:r>
      <w:r>
        <w:rPr>
          <w:sz w:val="24"/>
        </w:rPr>
        <w:t>flaps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 w:rsidR="007B350A">
        <w:rPr>
          <w:sz w:val="24"/>
        </w:rPr>
        <w:t xml:space="preserve"> </w:t>
      </w:r>
      <w:r>
        <w:rPr>
          <w:sz w:val="24"/>
        </w:rPr>
        <w:t>overdentures or bridgework;</w:t>
      </w:r>
    </w:p>
    <w:p w14:paraId="0FF9BA40" w14:textId="77777777" w:rsidR="00FC6E2A" w:rsidRDefault="00FC6E2A" w:rsidP="00B42EF7">
      <w:pPr>
        <w:pStyle w:val="BodyText"/>
        <w:spacing w:before="4"/>
        <w:jc w:val="both"/>
      </w:pPr>
    </w:p>
    <w:p w14:paraId="1A273359" w14:textId="30B568D9" w:rsidR="007B350A" w:rsidRPr="00633C06" w:rsidRDefault="007B350A" w:rsidP="00B42EF7">
      <w:pPr>
        <w:pStyle w:val="BodyText"/>
        <w:spacing w:before="74"/>
        <w:ind w:right="119"/>
        <w:jc w:val="both"/>
        <w:rPr>
          <w:spacing w:val="-2"/>
          <w:u w:val="single"/>
        </w:rPr>
      </w:pPr>
      <w:r>
        <w:t>*</w:t>
      </w:r>
      <w:r w:rsidR="00881CF7">
        <w:t>For patients to fulfil the referral criteria for dental implants, they</w:t>
      </w:r>
      <w:r w:rsidR="00FC6E2A">
        <w:t xml:space="preserve"> must be over 18 years, non-smokers, free of dental caries and active periodontal disease</w:t>
      </w:r>
      <w:r w:rsidR="001B0E3B">
        <w:t>,</w:t>
      </w:r>
      <w:r w:rsidR="00FC6E2A">
        <w:t xml:space="preserve"> and be able to demonstrate a good standard of oral </w:t>
      </w:r>
      <w:r w:rsidR="00FC6E2A">
        <w:rPr>
          <w:spacing w:val="-2"/>
        </w:rPr>
        <w:t>hygiene</w:t>
      </w:r>
      <w:r>
        <w:rPr>
          <w:spacing w:val="-2"/>
        </w:rPr>
        <w:t xml:space="preserve">. </w:t>
      </w:r>
      <w:r w:rsidR="00633C06" w:rsidRPr="00633C06">
        <w:rPr>
          <w:b/>
          <w:bCs/>
          <w:spacing w:val="-2"/>
          <w:u w:val="single"/>
        </w:rPr>
        <w:t>Please note that only dental implants that have been planned and/or placed by staff within Dublin Dental University Hospital will be considered for restoration in this Department.</w:t>
      </w:r>
    </w:p>
    <w:p w14:paraId="5903143F" w14:textId="77777777" w:rsidR="007B350A" w:rsidRDefault="007B350A" w:rsidP="00B42EF7">
      <w:pPr>
        <w:pStyle w:val="BodyText"/>
        <w:spacing w:before="74"/>
        <w:ind w:right="119"/>
        <w:jc w:val="both"/>
        <w:rPr>
          <w:spacing w:val="-2"/>
        </w:rPr>
      </w:pPr>
    </w:p>
    <w:p w14:paraId="42E9E8B2" w14:textId="1F909959" w:rsidR="007B350A" w:rsidRDefault="007B350A" w:rsidP="00B42EF7">
      <w:pPr>
        <w:pStyle w:val="BodyText"/>
        <w:spacing w:before="74"/>
        <w:ind w:right="119"/>
        <w:jc w:val="both"/>
      </w:pPr>
      <w:r>
        <w:t>Following</w:t>
      </w:r>
      <w:r>
        <w:rPr>
          <w:spacing w:val="-1"/>
        </w:rPr>
        <w:t xml:space="preserve"> </w:t>
      </w:r>
      <w:r>
        <w:t>implant</w:t>
      </w:r>
      <w:r>
        <w:rPr>
          <w:spacing w:val="-2"/>
        </w:rPr>
        <w:t xml:space="preserve"> </w:t>
      </w:r>
      <w:r>
        <w:t>treatment, the</w:t>
      </w:r>
      <w:r>
        <w:rPr>
          <w:spacing w:val="-2"/>
        </w:rPr>
        <w:t xml:space="preserve"> </w:t>
      </w:r>
      <w:r>
        <w:t>Division will</w:t>
      </w:r>
      <w:r>
        <w:rPr>
          <w:spacing w:val="-1"/>
        </w:rPr>
        <w:t xml:space="preserve"> </w:t>
      </w:r>
      <w:r>
        <w:t xml:space="preserve">provide </w:t>
      </w:r>
      <w:r w:rsidR="001B0E3B">
        <w:t>necessary remedial dental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 year</w:t>
      </w:r>
      <w:r>
        <w:rPr>
          <w:spacing w:val="-2"/>
        </w:rPr>
        <w:t xml:space="preserve"> </w:t>
      </w:r>
      <w:r w:rsidR="001B0E3B">
        <w:rPr>
          <w:spacing w:val="-2"/>
        </w:rPr>
        <w:t>after prosthodontic rehabilitation</w:t>
      </w:r>
      <w:r w:rsidR="001B0E3B">
        <w:t>,</w:t>
      </w:r>
      <w:r>
        <w:t xml:space="preserve"> and </w:t>
      </w:r>
      <w:r w:rsidR="001B0E3B">
        <w:t xml:space="preserve">subsequently, </w:t>
      </w:r>
      <w:r w:rsidR="00AD3368">
        <w:t xml:space="preserve">patients will then be </w:t>
      </w:r>
      <w:r>
        <w:t>discharge</w:t>
      </w:r>
      <w:r w:rsidR="00AD3368">
        <w:t>d</w:t>
      </w:r>
      <w:r>
        <w:t xml:space="preserve"> </w:t>
      </w:r>
      <w:r w:rsidR="001B0E3B">
        <w:t xml:space="preserve">back </w:t>
      </w:r>
      <w:r>
        <w:t>to their GDP for</w:t>
      </w:r>
      <w:r w:rsidR="00AD3368">
        <w:t xml:space="preserve"> ongoing</w:t>
      </w:r>
      <w:r>
        <w:t xml:space="preserve"> </w:t>
      </w:r>
      <w:r w:rsidR="001B0E3B">
        <w:t>maintenance</w:t>
      </w:r>
      <w:r>
        <w:t>.</w:t>
      </w:r>
    </w:p>
    <w:p w14:paraId="637CD223" w14:textId="77777777" w:rsidR="00800FEC" w:rsidRDefault="00800FEC" w:rsidP="00B42EF7">
      <w:pPr>
        <w:pStyle w:val="BodyText"/>
        <w:ind w:right="118"/>
        <w:jc w:val="both"/>
      </w:pPr>
    </w:p>
    <w:p w14:paraId="31D85F3D" w14:textId="77777777" w:rsidR="00800FEC" w:rsidRDefault="00800FEC" w:rsidP="00B42EF7">
      <w:pPr>
        <w:pStyle w:val="BodyText"/>
        <w:ind w:right="118"/>
        <w:jc w:val="both"/>
      </w:pPr>
    </w:p>
    <w:p w14:paraId="755C8A58" w14:textId="644B24C6" w:rsidR="00800FEC" w:rsidRDefault="00800FEC" w:rsidP="00B42EF7">
      <w:pPr>
        <w:pStyle w:val="BodyText"/>
        <w:ind w:right="118"/>
        <w:jc w:val="both"/>
      </w:pPr>
      <w:r>
        <w:t xml:space="preserve">Patients with the following conditions </w:t>
      </w:r>
      <w:r w:rsidR="001B0E3B">
        <w:t xml:space="preserve">will </w:t>
      </w:r>
      <w:r>
        <w:t>not be considered for dental implant treatment until the condition has been managed and stabili</w:t>
      </w:r>
      <w:r w:rsidR="00C908B6">
        <w:t>s</w:t>
      </w:r>
      <w:r>
        <w:t>ed for at least six months:</w:t>
      </w:r>
    </w:p>
    <w:p w14:paraId="2A5EBDCA" w14:textId="77777777" w:rsidR="00800FEC" w:rsidRDefault="00800FEC" w:rsidP="00B42EF7">
      <w:pPr>
        <w:pStyle w:val="BodyText"/>
        <w:ind w:right="118"/>
        <w:jc w:val="both"/>
      </w:pPr>
    </w:p>
    <w:p w14:paraId="137DA2D7" w14:textId="02262456" w:rsidR="00800FEC" w:rsidRDefault="00800FEC" w:rsidP="00B42EF7">
      <w:pPr>
        <w:pStyle w:val="BodyText"/>
        <w:numPr>
          <w:ilvl w:val="0"/>
          <w:numId w:val="4"/>
        </w:numPr>
        <w:ind w:right="118"/>
        <w:jc w:val="both"/>
      </w:pPr>
      <w:r>
        <w:t>poorly controlled diabetes;</w:t>
      </w:r>
    </w:p>
    <w:p w14:paraId="14777591" w14:textId="31CEADDA" w:rsidR="00800FEC" w:rsidRDefault="00C908B6" w:rsidP="00B42EF7">
      <w:pPr>
        <w:pStyle w:val="BodyText"/>
        <w:numPr>
          <w:ilvl w:val="0"/>
          <w:numId w:val="4"/>
        </w:numPr>
        <w:ind w:right="118"/>
        <w:jc w:val="both"/>
      </w:pPr>
      <w:r>
        <w:t xml:space="preserve">medications - </w:t>
      </w:r>
      <w:r w:rsidR="00800FEC">
        <w:t>bisphosphonate</w:t>
      </w:r>
      <w:r>
        <w:t>s</w:t>
      </w:r>
      <w:r w:rsidR="00800FEC">
        <w:t xml:space="preserve"> </w:t>
      </w:r>
      <w:r>
        <w:t>and drugs associated with medication-related osteonecrosis of the jaws (MRONJ)</w:t>
      </w:r>
      <w:r w:rsidR="00800FEC">
        <w:t>;</w:t>
      </w:r>
    </w:p>
    <w:p w14:paraId="234503A0" w14:textId="7DA6B805" w:rsidR="00800FEC" w:rsidRDefault="00800FEC" w:rsidP="00B42EF7">
      <w:pPr>
        <w:pStyle w:val="BodyText"/>
        <w:numPr>
          <w:ilvl w:val="0"/>
          <w:numId w:val="4"/>
        </w:numPr>
        <w:ind w:right="118"/>
        <w:jc w:val="both"/>
      </w:pPr>
      <w:r>
        <w:t>psychiatric and mental health issues;</w:t>
      </w:r>
    </w:p>
    <w:p w14:paraId="61294B7D" w14:textId="35009CD6" w:rsidR="00800FEC" w:rsidRDefault="00800FEC" w:rsidP="00B42EF7">
      <w:pPr>
        <w:pStyle w:val="BodyText"/>
        <w:numPr>
          <w:ilvl w:val="0"/>
          <w:numId w:val="4"/>
        </w:numPr>
        <w:ind w:right="118"/>
        <w:jc w:val="both"/>
      </w:pPr>
      <w:r>
        <w:t xml:space="preserve">other </w:t>
      </w:r>
      <w:r w:rsidR="001B0E3B">
        <w:t>medical disorders</w:t>
      </w:r>
      <w:r>
        <w:t xml:space="preserve"> such as blood </w:t>
      </w:r>
      <w:r w:rsidR="001B0E3B">
        <w:t>dyscrasias</w:t>
      </w:r>
      <w:r>
        <w:t>, immunodeficiency, alcohol/drug abuse, bone disorders and epilepsy;</w:t>
      </w:r>
    </w:p>
    <w:p w14:paraId="65A8712C" w14:textId="10C6D3B2" w:rsidR="00800FEC" w:rsidRDefault="00800FEC" w:rsidP="00B42EF7">
      <w:pPr>
        <w:pStyle w:val="BodyText"/>
        <w:numPr>
          <w:ilvl w:val="0"/>
          <w:numId w:val="4"/>
        </w:numPr>
        <w:ind w:right="118"/>
        <w:jc w:val="both"/>
      </w:pPr>
      <w:r>
        <w:t>tobacco use;</w:t>
      </w:r>
    </w:p>
    <w:p w14:paraId="7289C051" w14:textId="374B4C5E" w:rsidR="00800FEC" w:rsidRDefault="00800FEC" w:rsidP="00B42EF7">
      <w:pPr>
        <w:pStyle w:val="BodyText"/>
        <w:ind w:right="118"/>
        <w:jc w:val="both"/>
        <w:sectPr w:rsidR="00800FEC" w:rsidSect="00FC6E2A">
          <w:pgSz w:w="11920" w:h="16850"/>
          <w:pgMar w:top="1260" w:right="1559" w:bottom="1160" w:left="1275" w:header="0" w:footer="976" w:gutter="0"/>
          <w:cols w:space="720"/>
        </w:sectPr>
      </w:pPr>
    </w:p>
    <w:p w14:paraId="00B82F93" w14:textId="77777777" w:rsidR="00FC6E2A" w:rsidRDefault="00FC6E2A" w:rsidP="00B42EF7">
      <w:pPr>
        <w:pStyle w:val="Heading1"/>
        <w:ind w:left="0"/>
      </w:pPr>
      <w:r>
        <w:lastRenderedPageBreak/>
        <w:t>Making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referral</w:t>
      </w:r>
    </w:p>
    <w:p w14:paraId="3505C3D7" w14:textId="75E91DCA" w:rsidR="00FC6E2A" w:rsidRDefault="00FC6E2A" w:rsidP="00B42EF7">
      <w:pPr>
        <w:pStyle w:val="BodyText"/>
        <w:spacing w:before="276"/>
        <w:ind w:right="119"/>
        <w:jc w:val="both"/>
      </w:pPr>
      <w:r>
        <w:t>To make a referral to the</w:t>
      </w:r>
      <w:r w:rsidR="00800FEC">
        <w:t xml:space="preserve"> Division of Restorative Dentistry and Periodontology</w:t>
      </w:r>
      <w:r>
        <w:t xml:space="preserve"> please complete the </w:t>
      </w:r>
      <w:r w:rsidR="001B0E3B">
        <w:t xml:space="preserve">appropriate </w:t>
      </w:r>
      <w:r>
        <w:t>referral pro-forma.</w:t>
      </w:r>
    </w:p>
    <w:p w14:paraId="6C5C4A02" w14:textId="744C31B2" w:rsidR="00FC6E2A" w:rsidRDefault="00FC6E2A" w:rsidP="00B42EF7">
      <w:pPr>
        <w:pStyle w:val="BodyText"/>
        <w:spacing w:before="273"/>
        <w:ind w:right="127"/>
        <w:jc w:val="both"/>
      </w:pPr>
      <w:r>
        <w:t>Where applicable, high</w:t>
      </w:r>
      <w:r w:rsidR="00C908B6">
        <w:t>-</w:t>
      </w:r>
      <w:r>
        <w:t xml:space="preserve">quality radiographs are requested for all dental referrals. </w:t>
      </w:r>
    </w:p>
    <w:p w14:paraId="2B901D19" w14:textId="77777777" w:rsidR="00FC6E2A" w:rsidRDefault="00FC6E2A" w:rsidP="00B42EF7">
      <w:pPr>
        <w:pStyle w:val="BodyText"/>
        <w:jc w:val="both"/>
      </w:pPr>
    </w:p>
    <w:p w14:paraId="2A211030" w14:textId="3FCEF38C" w:rsidR="00800FEC" w:rsidRDefault="00FC6E2A" w:rsidP="00B42EF7">
      <w:pPr>
        <w:pStyle w:val="BodyText"/>
        <w:ind w:right="117"/>
        <w:jc w:val="both"/>
      </w:pPr>
      <w:r>
        <w:t xml:space="preserve">The email address </w:t>
      </w:r>
      <w:r w:rsidR="001B0E3B">
        <w:t xml:space="preserve">for referrals </w:t>
      </w:r>
      <w:r>
        <w:t xml:space="preserve">is: </w:t>
      </w:r>
      <w:hyperlink r:id="rId9" w:history="1">
        <w:r w:rsidR="002612BD" w:rsidRPr="00D142FD">
          <w:rPr>
            <w:rStyle w:val="Hyperlink"/>
          </w:rPr>
          <w:t>Div2oncology@dental.tcd.ie</w:t>
        </w:r>
      </w:hyperlink>
    </w:p>
    <w:p w14:paraId="0C3F9697" w14:textId="77777777" w:rsidR="002612BD" w:rsidRDefault="002612BD" w:rsidP="00B42EF7">
      <w:pPr>
        <w:pStyle w:val="BodyText"/>
        <w:ind w:right="117"/>
        <w:jc w:val="both"/>
      </w:pPr>
    </w:p>
    <w:p w14:paraId="52B910FD" w14:textId="5176BCB4" w:rsidR="00FC6E2A" w:rsidRDefault="00FC6E2A" w:rsidP="00B42EF7">
      <w:pPr>
        <w:pStyle w:val="BodyText"/>
        <w:ind w:right="117"/>
        <w:jc w:val="both"/>
      </w:pPr>
      <w:r>
        <w:rPr>
          <w:b/>
          <w:i/>
        </w:rPr>
        <w:t>N.B</w:t>
      </w:r>
      <w:r>
        <w:t>. Any information sent by electronic means should be provided with an adequate level of encryption or password protection in line with Data Protection Guidelines.</w:t>
      </w:r>
    </w:p>
    <w:p w14:paraId="20CD89A3" w14:textId="77777777" w:rsidR="00FC6E2A" w:rsidRDefault="00FC6E2A" w:rsidP="00B42EF7">
      <w:pPr>
        <w:pStyle w:val="BodyText"/>
        <w:jc w:val="both"/>
      </w:pPr>
    </w:p>
    <w:p w14:paraId="7A58D4C8" w14:textId="606430B5" w:rsidR="00FC6E2A" w:rsidRDefault="00FC6E2A" w:rsidP="00B42EF7">
      <w:pPr>
        <w:pStyle w:val="BodyText"/>
        <w:snapToGrid w:val="0"/>
        <w:jc w:val="both"/>
      </w:pPr>
      <w:r>
        <w:t>Rejected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inappropriate referrals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6"/>
        </w:rPr>
        <w:t xml:space="preserve"> </w:t>
      </w:r>
      <w:r w:rsidR="00B42EF7">
        <w:rPr>
          <w:spacing w:val="-6"/>
        </w:rPr>
        <w:t xml:space="preserve">with an </w:t>
      </w:r>
      <w:r>
        <w:t>outlin</w:t>
      </w:r>
      <w:r w:rsidR="00B42EF7">
        <w:t>e of</w:t>
      </w:r>
      <w:r>
        <w:rPr>
          <w:spacing w:val="-2"/>
        </w:rPr>
        <w:t xml:space="preserve"> </w:t>
      </w:r>
      <w:r>
        <w:t>the</w:t>
      </w:r>
      <w:r w:rsidR="00B42EF7">
        <w:rPr>
          <w:spacing w:val="-3"/>
        </w:rPr>
        <w:t xml:space="preserve"> rejection </w:t>
      </w:r>
      <w:r>
        <w:t xml:space="preserve">reason(s). </w:t>
      </w:r>
    </w:p>
    <w:p w14:paraId="004E0151" w14:textId="77777777" w:rsidR="00FC6E2A" w:rsidRPr="00FC6E2A" w:rsidRDefault="00FC6E2A" w:rsidP="00FC6E2A">
      <w:pPr>
        <w:rPr>
          <w:sz w:val="24"/>
        </w:rPr>
        <w:sectPr w:rsidR="00FC6E2A" w:rsidRPr="00FC6E2A">
          <w:pgSz w:w="11920" w:h="16850"/>
          <w:pgMar w:top="1260" w:right="1559" w:bottom="1160" w:left="1275" w:header="0" w:footer="976" w:gutter="0"/>
          <w:cols w:space="720"/>
        </w:sectPr>
      </w:pPr>
    </w:p>
    <w:p w14:paraId="066F790C" w14:textId="467CE3D3" w:rsidR="007945D7" w:rsidRDefault="007945D7">
      <w:pPr>
        <w:spacing w:before="3"/>
        <w:ind w:left="64"/>
        <w:rPr>
          <w:rFonts w:ascii="Calibri"/>
          <w:sz w:val="20"/>
        </w:rPr>
      </w:pPr>
    </w:p>
    <w:sectPr w:rsidR="007945D7">
      <w:pgSz w:w="11920" w:h="16850"/>
      <w:pgMar w:top="1260" w:right="1559" w:bottom="1160" w:left="1275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B54F" w14:textId="77777777" w:rsidR="0098413B" w:rsidRDefault="0098413B">
      <w:r>
        <w:separator/>
      </w:r>
    </w:p>
  </w:endnote>
  <w:endnote w:type="continuationSeparator" w:id="0">
    <w:p w14:paraId="3B96C9E7" w14:textId="77777777" w:rsidR="0098413B" w:rsidRDefault="0098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EA0F" w14:textId="77777777" w:rsidR="007945D7" w:rsidRDefault="009841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050D52A7" wp14:editId="7B088CA2">
              <wp:simplePos x="0" y="0"/>
              <wp:positionH relativeFrom="page">
                <wp:posOffset>971156</wp:posOffset>
              </wp:positionH>
              <wp:positionV relativeFrom="page">
                <wp:posOffset>9932275</wp:posOffset>
              </wp:positionV>
              <wp:extent cx="3089275" cy="460353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275" cy="46035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C1CD3" w14:textId="57E19727" w:rsidR="007945D7" w:rsidRDefault="00A7277C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Head and Neck Cancer Oral Rehabilitation Service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Referral Criteria April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D52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45pt;margin-top:782.05pt;width:243.25pt;height:36.25pt;z-index:-15855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" filled="f" stroked="f">
              <v:textbox inset="0,0,0,0">
                <w:txbxContent>
                  <w:p w14:paraId="0D5C1CD3" w14:textId="57E19727" w:rsidR="007945D7" w:rsidRDefault="00A7277C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Head and Neck Cancer Oral Rehabilitation Service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Referral Criteria April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0E67B9D7" wp14:editId="3C51133F">
              <wp:simplePos x="0" y="0"/>
              <wp:positionH relativeFrom="page">
                <wp:posOffset>5793485</wp:posOffset>
              </wp:positionH>
              <wp:positionV relativeFrom="page">
                <wp:posOffset>9934278</wp:posOffset>
              </wp:positionV>
              <wp:extent cx="71437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6826A" w14:textId="77777777" w:rsidR="007945D7" w:rsidRDefault="0098413B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7B9D7" id="Textbox 2" o:spid="_x0000_s1027" type="#_x0000_t202" style="position:absolute;margin-left:456.2pt;margin-top:782.25pt;width:56.25pt;height:15.3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" filled="f" stroked="f">
              <v:textbox inset="0,0,0,0">
                <w:txbxContent>
                  <w:p w14:paraId="70F6826A" w14:textId="77777777" w:rsidR="007945D7" w:rsidRDefault="0098413B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BD84" w14:textId="77777777" w:rsidR="0098413B" w:rsidRDefault="0098413B">
      <w:r>
        <w:separator/>
      </w:r>
    </w:p>
  </w:footnote>
  <w:footnote w:type="continuationSeparator" w:id="0">
    <w:p w14:paraId="23D7C223" w14:textId="77777777" w:rsidR="0098413B" w:rsidRDefault="0098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54D"/>
    <w:multiLevelType w:val="hybridMultilevel"/>
    <w:tmpl w:val="686EDE84"/>
    <w:lvl w:ilvl="0" w:tplc="04BC16DA">
      <w:numFmt w:val="bullet"/>
      <w:lvlText w:val=""/>
      <w:lvlJc w:val="left"/>
      <w:pPr>
        <w:ind w:left="1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303C9A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2" w:tplc="640EE942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3" w:tplc="2B4ED51E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4" w:tplc="79565760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5F48BF6E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6" w:tplc="83B2C71A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C0F29632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8" w:tplc="79065E2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790212"/>
    <w:multiLevelType w:val="hybridMultilevel"/>
    <w:tmpl w:val="25DA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51C64"/>
    <w:multiLevelType w:val="hybridMultilevel"/>
    <w:tmpl w:val="A5007588"/>
    <w:lvl w:ilvl="0" w:tplc="53A09B92"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D0A1C8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2" w:tplc="028C17B8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3" w:tplc="728007A4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4" w:tplc="8D94EBC6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D3DACBFA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6" w:tplc="EF261052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7804ACE0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8" w:tplc="AA620130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1137D4"/>
    <w:multiLevelType w:val="hybridMultilevel"/>
    <w:tmpl w:val="F2125172"/>
    <w:lvl w:ilvl="0" w:tplc="EC3C4B86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A0523E">
      <w:numFmt w:val="bullet"/>
      <w:lvlText w:val=""/>
      <w:lvlJc w:val="left"/>
      <w:pPr>
        <w:ind w:left="1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6665DE4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744FFB4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4EFEBEDA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5" w:tplc="2A8455CA"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6" w:tplc="BF12B90A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7" w:tplc="462C8476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8" w:tplc="2A542E3A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D7"/>
    <w:rsid w:val="00093F1C"/>
    <w:rsid w:val="000A2420"/>
    <w:rsid w:val="000E72A8"/>
    <w:rsid w:val="00194F68"/>
    <w:rsid w:val="001B0E3B"/>
    <w:rsid w:val="002612BD"/>
    <w:rsid w:val="00353F65"/>
    <w:rsid w:val="003D1689"/>
    <w:rsid w:val="00476D9B"/>
    <w:rsid w:val="00633C06"/>
    <w:rsid w:val="00653274"/>
    <w:rsid w:val="0067224D"/>
    <w:rsid w:val="007945D7"/>
    <w:rsid w:val="007B350A"/>
    <w:rsid w:val="007E1281"/>
    <w:rsid w:val="00800FEC"/>
    <w:rsid w:val="00835FBC"/>
    <w:rsid w:val="00881731"/>
    <w:rsid w:val="00881CF7"/>
    <w:rsid w:val="00890E32"/>
    <w:rsid w:val="0098413B"/>
    <w:rsid w:val="00A40041"/>
    <w:rsid w:val="00A7277C"/>
    <w:rsid w:val="00AB23C5"/>
    <w:rsid w:val="00AD3368"/>
    <w:rsid w:val="00B42EF7"/>
    <w:rsid w:val="00BB177A"/>
    <w:rsid w:val="00C41A39"/>
    <w:rsid w:val="00C908B6"/>
    <w:rsid w:val="00CD53B3"/>
    <w:rsid w:val="00E82B62"/>
    <w:rsid w:val="00FB5C94"/>
    <w:rsid w:val="00F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60235"/>
  <w15:docId w15:val="{C43035E5-8F1D-3649-929E-C03A0CD5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4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0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0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40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04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61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v2oncology@dental.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Restorative Dentistry Referral Criteria</vt:lpstr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Restorative Dentistry Referral Criteria</dc:title>
  <dc:creator>McLaughlin, Terri</dc:creator>
  <cp:lastModifiedBy>Helen McCabe Kelly</cp:lastModifiedBy>
  <cp:revision>2</cp:revision>
  <dcterms:created xsi:type="dcterms:W3CDTF">2026-06-08T10:04:00Z</dcterms:created>
  <dcterms:modified xsi:type="dcterms:W3CDTF">2026-06-08T10:04:00Z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